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3"/>
        <w:gridCol w:w="3442"/>
      </w:tblGrid>
      <w:tr w:rsidR="00002189" w14:paraId="262AA70D" w14:textId="77777777" w:rsidTr="00962431">
        <w:trPr>
          <w:trHeight w:val="1530"/>
        </w:trPr>
        <w:tc>
          <w:tcPr>
            <w:tcW w:w="10975" w:type="dxa"/>
            <w:gridSpan w:val="2"/>
          </w:tcPr>
          <w:p w14:paraId="66B76F03" w14:textId="6E7148DE" w:rsidR="00002189" w:rsidRDefault="00BE1994" w:rsidP="00962431">
            <w:pPr>
              <w:jc w:val="center"/>
            </w:pPr>
            <w:r>
              <w:rPr>
                <w:noProof/>
              </w:rPr>
              <w:drawing>
                <wp:inline distT="0" distB="0" distL="0" distR="0" wp14:anchorId="0B054D29" wp14:editId="6E99E3FA">
                  <wp:extent cx="6753225" cy="904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2.png"/>
                          <pic:cNvPicPr/>
                        </pic:nvPicPr>
                        <pic:blipFill rotWithShape="1">
                          <a:blip r:embed="rId4">
                            <a:extLst>
                              <a:ext uri="{28A0092B-C50C-407E-A947-70E740481C1C}">
                                <a14:useLocalDpi xmlns:a14="http://schemas.microsoft.com/office/drawing/2010/main" val="0"/>
                              </a:ext>
                            </a:extLst>
                          </a:blip>
                          <a:srcRect t="13098" r="1528" b="13713"/>
                          <a:stretch/>
                        </pic:blipFill>
                        <pic:spPr bwMode="auto">
                          <a:xfrm>
                            <a:off x="0" y="0"/>
                            <a:ext cx="6753225" cy="904875"/>
                          </a:xfrm>
                          <a:prstGeom prst="rect">
                            <a:avLst/>
                          </a:prstGeom>
                          <a:ln>
                            <a:noFill/>
                          </a:ln>
                          <a:extLst>
                            <a:ext uri="{53640926-AAD7-44D8-BBD7-CCE9431645EC}">
                              <a14:shadowObscured xmlns:a14="http://schemas.microsoft.com/office/drawing/2010/main"/>
                            </a:ext>
                          </a:extLst>
                        </pic:spPr>
                      </pic:pic>
                    </a:graphicData>
                  </a:graphic>
                </wp:inline>
              </w:drawing>
            </w:r>
          </w:p>
        </w:tc>
      </w:tr>
      <w:tr w:rsidR="00002189" w14:paraId="29E98E0F" w14:textId="77777777" w:rsidTr="00962431">
        <w:trPr>
          <w:trHeight w:val="1070"/>
        </w:trPr>
        <w:tc>
          <w:tcPr>
            <w:tcW w:w="10975" w:type="dxa"/>
            <w:gridSpan w:val="2"/>
            <w:tcBorders>
              <w:bottom w:val="dashed" w:sz="4" w:space="0" w:color="auto"/>
            </w:tcBorders>
            <w:vAlign w:val="center"/>
          </w:tcPr>
          <w:p w14:paraId="41DDDBAB" w14:textId="77777777" w:rsidR="00BE1994" w:rsidRPr="00BE1994" w:rsidRDefault="00BE1994" w:rsidP="00BE1994">
            <w:pPr>
              <w:autoSpaceDE w:val="0"/>
              <w:autoSpaceDN w:val="0"/>
              <w:adjustRightInd w:val="0"/>
              <w:rPr>
                <w:rFonts w:ascii="Signika" w:eastAsia="Calibri" w:hAnsi="Signika" w:cs="Garamond-Bold"/>
                <w:b/>
                <w:bCs/>
                <w:color w:val="000000"/>
                <w:sz w:val="24"/>
                <w:szCs w:val="24"/>
              </w:rPr>
            </w:pPr>
            <w:r w:rsidRPr="00BE1994">
              <w:rPr>
                <w:rFonts w:ascii="Signika" w:eastAsia="Calibri" w:hAnsi="Signika" w:cs="Garamond-Bold"/>
                <w:b/>
                <w:bCs/>
                <w:noProof/>
                <w:color w:val="000000"/>
                <w:sz w:val="24"/>
                <w:szCs w:val="24"/>
              </w:rPr>
              <w:t>Sample Social Media Posts</w:t>
            </w:r>
          </w:p>
          <w:p w14:paraId="4AEF03D2" w14:textId="77777777" w:rsidR="00002189" w:rsidRDefault="00BE1994" w:rsidP="00BE1994">
            <w:pPr>
              <w:autoSpaceDE w:val="0"/>
              <w:autoSpaceDN w:val="0"/>
              <w:adjustRightInd w:val="0"/>
              <w:rPr>
                <w:rFonts w:ascii="Signika" w:eastAsia="Calibri" w:hAnsi="Signika" w:cs="TimesNewRomanPSMT"/>
              </w:rPr>
            </w:pPr>
            <w:r w:rsidRPr="00BE1994">
              <w:rPr>
                <w:rFonts w:ascii="Signika" w:eastAsia="Calibri" w:hAnsi="Signika" w:cs="TimesNewRomanPSMT"/>
              </w:rPr>
              <w:t xml:space="preserve">These posts can be personalized and used on your social channels during the </w:t>
            </w:r>
            <w:proofErr w:type="spellStart"/>
            <w:r w:rsidRPr="00BE1994">
              <w:rPr>
                <w:rFonts w:ascii="Signika" w:eastAsia="Calibri" w:hAnsi="Signika" w:cs="TimesNewRomanPSMT"/>
              </w:rPr>
              <w:t>WITSummer</w:t>
            </w:r>
            <w:proofErr w:type="spellEnd"/>
            <w:r w:rsidRPr="00BE1994">
              <w:rPr>
                <w:rFonts w:ascii="Signika" w:eastAsia="Calibri" w:hAnsi="Signika" w:cs="TimesNewRomanPSMT"/>
              </w:rPr>
              <w:t xml:space="preserve"> Books campaign. We recommend inserting a link to your personal fundraising page following the copy.</w:t>
            </w:r>
          </w:p>
          <w:p w14:paraId="14700E84" w14:textId="745062E6" w:rsidR="00962431" w:rsidRPr="00BE1994" w:rsidRDefault="00962431" w:rsidP="00BE1994">
            <w:pPr>
              <w:autoSpaceDE w:val="0"/>
              <w:autoSpaceDN w:val="0"/>
              <w:adjustRightInd w:val="0"/>
              <w:rPr>
                <w:rFonts w:ascii="Signika" w:eastAsia="Calibri" w:hAnsi="Signika" w:cs="TimesNewRomanPSMT"/>
              </w:rPr>
            </w:pPr>
          </w:p>
        </w:tc>
      </w:tr>
      <w:tr w:rsidR="00BE1994" w14:paraId="5C016FF9" w14:textId="77777777" w:rsidTr="007A2087">
        <w:trPr>
          <w:trHeight w:val="1853"/>
        </w:trPr>
        <w:tc>
          <w:tcPr>
            <w:tcW w:w="7533" w:type="dxa"/>
            <w:tcBorders>
              <w:top w:val="dashed" w:sz="4" w:space="0" w:color="auto"/>
              <w:bottom w:val="dashed" w:sz="4" w:space="0" w:color="auto"/>
            </w:tcBorders>
            <w:vAlign w:val="center"/>
          </w:tcPr>
          <w:p w14:paraId="73475529" w14:textId="4C049CFF" w:rsidR="00BE1994" w:rsidRPr="00962431" w:rsidRDefault="00BE1994" w:rsidP="007A2087">
            <w:r w:rsidRPr="00962431">
              <w:rPr>
                <w:rStyle w:val="Emphasis"/>
                <w:rFonts w:ascii="Signika" w:hAnsi="Signika" w:cs="Arial"/>
                <w:color w:val="2B2B2B"/>
                <w:bdr w:val="none" w:sz="0" w:space="0" w:color="auto" w:frame="1"/>
                <w:shd w:val="clear" w:color="auto" w:fill="FFFFFF"/>
              </w:rPr>
              <w:t>Each May, WITS celebrates our students by giving them</w:t>
            </w:r>
            <w:r w:rsidRPr="00962431">
              <w:rPr>
                <w:rStyle w:val="Strong"/>
                <w:rFonts w:cs="Calibri"/>
                <w:i/>
                <w:iCs/>
                <w:color w:val="2B2B2B"/>
                <w:bdr w:val="none" w:sz="0" w:space="0" w:color="auto" w:frame="1"/>
                <w:shd w:val="clear" w:color="auto" w:fill="FFFFFF"/>
              </w:rPr>
              <w:t> </w:t>
            </w:r>
            <w:r w:rsidRPr="00962431">
              <w:rPr>
                <w:rStyle w:val="Strong"/>
                <w:rFonts w:ascii="Signika" w:hAnsi="Signika" w:cs="Arial"/>
                <w:i/>
                <w:iCs/>
                <w:color w:val="2B2B2B"/>
                <w:bdr w:val="none" w:sz="0" w:space="0" w:color="auto" w:frame="1"/>
                <w:shd w:val="clear" w:color="auto" w:fill="FFFFFF"/>
              </w:rPr>
              <w:t xml:space="preserve">brand new books at the end of program. </w:t>
            </w:r>
            <w:r w:rsidRPr="00962431">
              <w:rPr>
                <w:rFonts w:ascii="Signika" w:hAnsi="Signika" w:cs="Arial"/>
                <w:color w:val="2B2B2B"/>
                <w:shd w:val="clear" w:color="auto" w:fill="FFFFFF"/>
              </w:rPr>
              <w:t xml:space="preserve">The </w:t>
            </w:r>
            <w:proofErr w:type="spellStart"/>
            <w:r w:rsidRPr="00962431">
              <w:rPr>
                <w:rFonts w:ascii="Signika" w:hAnsi="Signika" w:cs="Arial"/>
                <w:color w:val="2B2B2B"/>
                <w:shd w:val="clear" w:color="auto" w:fill="FFFFFF"/>
              </w:rPr>
              <w:t>WITSummer</w:t>
            </w:r>
            <w:proofErr w:type="spellEnd"/>
            <w:r w:rsidRPr="00962431">
              <w:rPr>
                <w:rFonts w:ascii="Signika" w:hAnsi="Signika" w:cs="Arial"/>
                <w:color w:val="2B2B2B"/>
                <w:shd w:val="clear" w:color="auto" w:fill="FFFFFF"/>
              </w:rPr>
              <w:t xml:space="preserve"> Books campaign provides access to books, cultivating essential literacy skills among students and supports students’ growth as readers by exposing them to new and engaging books over the summer.</w:t>
            </w:r>
            <w:r w:rsidRPr="00962431">
              <w:rPr>
                <w:rFonts w:cs="Calibri"/>
                <w:color w:val="2B2B2B"/>
                <w:shd w:val="clear" w:color="auto" w:fill="FFFFFF"/>
              </w:rPr>
              <w:t> </w:t>
            </w:r>
            <w:r w:rsidRPr="00962431">
              <w:rPr>
                <w:rFonts w:ascii="Signika" w:hAnsi="Signika" w:cs="TimesNewRomanPSMT"/>
              </w:rPr>
              <w:t xml:space="preserve">A $30 donation will send one student home with a collection of books. Donate Today! </w:t>
            </w:r>
            <w:r w:rsidRPr="00962431">
              <w:rPr>
                <w:rFonts w:ascii="Signika" w:hAnsi="Signika" w:cs="TimesNewRomanPSMT"/>
                <w:i/>
                <w:color w:val="FF0000"/>
              </w:rPr>
              <w:t>[Insert personal fundraising page]</w:t>
            </w:r>
          </w:p>
        </w:tc>
        <w:tc>
          <w:tcPr>
            <w:tcW w:w="3442" w:type="dxa"/>
            <w:tcBorders>
              <w:top w:val="dashed" w:sz="4" w:space="0" w:color="auto"/>
              <w:bottom w:val="dashed" w:sz="4" w:space="0" w:color="auto"/>
            </w:tcBorders>
            <w:vAlign w:val="center"/>
          </w:tcPr>
          <w:p w14:paraId="129AE9A1" w14:textId="5664BC31" w:rsidR="00BE1994" w:rsidRDefault="00BE1994" w:rsidP="00E8302D">
            <w:pPr>
              <w:jc w:val="center"/>
            </w:pPr>
            <w:r>
              <w:rPr>
                <w:noProof/>
              </w:rPr>
              <w:drawing>
                <wp:inline distT="0" distB="0" distL="0" distR="0" wp14:anchorId="71948847" wp14:editId="65CC7768">
                  <wp:extent cx="914400" cy="914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0 sends one student home with book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r w:rsidR="00BE1994" w14:paraId="7C2E7D11" w14:textId="77777777" w:rsidTr="007A2087">
        <w:trPr>
          <w:trHeight w:val="1610"/>
        </w:trPr>
        <w:tc>
          <w:tcPr>
            <w:tcW w:w="7533" w:type="dxa"/>
            <w:tcBorders>
              <w:top w:val="dashed" w:sz="4" w:space="0" w:color="auto"/>
              <w:bottom w:val="dashed" w:sz="4" w:space="0" w:color="auto"/>
            </w:tcBorders>
            <w:vAlign w:val="center"/>
          </w:tcPr>
          <w:p w14:paraId="0B923EEE" w14:textId="3B60D31D" w:rsidR="00BE1994" w:rsidRPr="00962431" w:rsidRDefault="00BE1994" w:rsidP="007A2087">
            <w:pPr>
              <w:autoSpaceDE w:val="0"/>
              <w:autoSpaceDN w:val="0"/>
              <w:adjustRightInd w:val="0"/>
              <w:spacing w:before="40"/>
              <w:rPr>
                <w:rFonts w:ascii="Signika" w:eastAsia="Calibri" w:hAnsi="Signika" w:cs="TimesNewRomanPSMT"/>
                <w:i/>
              </w:rPr>
            </w:pPr>
            <w:r w:rsidRPr="00BE1994">
              <w:rPr>
                <w:rFonts w:ascii="Signika" w:eastAsia="Calibri" w:hAnsi="Signika" w:cs="TimesNewRomanPSMT"/>
              </w:rPr>
              <w:t>DID YOU KNOW? S</w:t>
            </w:r>
            <w:r w:rsidRPr="00BE1994">
              <w:rPr>
                <w:rFonts w:ascii="Signika" w:eastAsia="Calibri" w:hAnsi="Signika" w:cs="Arial"/>
              </w:rPr>
              <w:t xml:space="preserve">tudents who do not read proficiently by the end of third grade are four times more likely to leave school without a diploma than those with proficient reading skills in third grade. </w:t>
            </w:r>
            <w:r w:rsidRPr="00BE1994">
              <w:rPr>
                <w:rFonts w:ascii="Signika" w:eastAsia="Calibri" w:hAnsi="Signika" w:cs="TimesNewRomanPSMT"/>
              </w:rPr>
              <w:t xml:space="preserve">Support me by donating my </w:t>
            </w:r>
            <w:proofErr w:type="spellStart"/>
            <w:r w:rsidRPr="00BE1994">
              <w:rPr>
                <w:rFonts w:ascii="Signika" w:eastAsia="Calibri" w:hAnsi="Signika" w:cs="TimesNewRomanPSMT"/>
                <w:i/>
              </w:rPr>
              <w:t>WITSummer</w:t>
            </w:r>
            <w:proofErr w:type="spellEnd"/>
            <w:r w:rsidRPr="00BE1994">
              <w:rPr>
                <w:rFonts w:ascii="Signika" w:eastAsia="Calibri" w:hAnsi="Signika" w:cs="TimesNewRomanPSMT"/>
                <w:i/>
              </w:rPr>
              <w:t xml:space="preserve"> Books</w:t>
            </w:r>
            <w:r w:rsidRPr="00BE1994">
              <w:rPr>
                <w:rFonts w:ascii="Signika" w:eastAsia="Calibri" w:hAnsi="Signika" w:cs="TimesNewRomanPSMT"/>
              </w:rPr>
              <w:t xml:space="preserve"> campaign so we can help change this number! </w:t>
            </w:r>
            <w:r w:rsidRPr="00BE1994">
              <w:rPr>
                <w:rFonts w:ascii="Signika" w:eastAsia="Calibri" w:hAnsi="Signika" w:cs="TimesNewRomanPSMT"/>
                <w:i/>
                <w:color w:val="FF0000"/>
              </w:rPr>
              <w:t xml:space="preserve">[Insert personal fundraising page] </w:t>
            </w:r>
          </w:p>
        </w:tc>
        <w:tc>
          <w:tcPr>
            <w:tcW w:w="3442" w:type="dxa"/>
            <w:tcBorders>
              <w:top w:val="dashed" w:sz="4" w:space="0" w:color="auto"/>
              <w:bottom w:val="dashed" w:sz="4" w:space="0" w:color="auto"/>
            </w:tcBorders>
            <w:vAlign w:val="center"/>
          </w:tcPr>
          <w:p w14:paraId="0484F819" w14:textId="43C10CD7" w:rsidR="00BE1994" w:rsidRDefault="00C8163F" w:rsidP="00C8163F">
            <w:pPr>
              <w:jc w:val="center"/>
            </w:pPr>
            <w:r>
              <w:rPr>
                <w:noProof/>
              </w:rPr>
              <w:drawing>
                <wp:inline distT="0" distB="0" distL="0" distR="0" wp14:anchorId="6016621B" wp14:editId="3574A921">
                  <wp:extent cx="914400" cy="914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id you know.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r w:rsidR="00BE1994" w14:paraId="70E85BCE" w14:textId="77777777" w:rsidTr="007A2087">
        <w:trPr>
          <w:trHeight w:val="1790"/>
        </w:trPr>
        <w:tc>
          <w:tcPr>
            <w:tcW w:w="7533" w:type="dxa"/>
            <w:tcBorders>
              <w:top w:val="dashed" w:sz="4" w:space="0" w:color="auto"/>
              <w:bottom w:val="dashed" w:sz="4" w:space="0" w:color="auto"/>
            </w:tcBorders>
            <w:vAlign w:val="center"/>
          </w:tcPr>
          <w:p w14:paraId="54D975FB" w14:textId="06F77984" w:rsidR="00BE1994" w:rsidRPr="00962431" w:rsidRDefault="00BE1994" w:rsidP="007A2087">
            <w:r w:rsidRPr="00962431">
              <w:rPr>
                <w:rFonts w:ascii="Signika" w:hAnsi="Signika" w:cs="TimesNewRomanPSMT"/>
              </w:rPr>
              <w:t xml:space="preserve">Because of YOU, WITS programming is provided at </w:t>
            </w:r>
            <w:r w:rsidRPr="00962431">
              <w:rPr>
                <w:rFonts w:ascii="Signika" w:hAnsi="Signika" w:cs="Arial"/>
                <w:b/>
                <w:i/>
              </w:rPr>
              <w:t>no cost to CPS or to our schools</w:t>
            </w:r>
            <w:r w:rsidRPr="00962431">
              <w:rPr>
                <w:rFonts w:ascii="Signika" w:hAnsi="Signika" w:cs="Arial"/>
              </w:rPr>
              <w:t>. WITS is completely funded by the generosity of individuals, corporations and foundations. Which means that WITS is a consistent partner in our schools, regardless of budget cuts. Every dollar and hour given to WITS directly impacts thousands of students. Be a part of the movement!</w:t>
            </w:r>
            <w:r w:rsidRPr="00962431">
              <w:rPr>
                <w:rFonts w:ascii="Signika" w:hAnsi="Signika" w:cs="TimesNewRomanPSMT"/>
                <w:i/>
              </w:rPr>
              <w:t xml:space="preserve"> </w:t>
            </w:r>
            <w:r w:rsidRPr="00962431">
              <w:rPr>
                <w:rFonts w:ascii="Signika" w:hAnsi="Signika" w:cs="TimesNewRomanPSMT"/>
                <w:i/>
                <w:color w:val="FF0000"/>
              </w:rPr>
              <w:t>[Insert personal fundraising page]</w:t>
            </w:r>
          </w:p>
        </w:tc>
        <w:tc>
          <w:tcPr>
            <w:tcW w:w="3442" w:type="dxa"/>
            <w:tcBorders>
              <w:top w:val="dashed" w:sz="4" w:space="0" w:color="auto"/>
              <w:bottom w:val="dashed" w:sz="4" w:space="0" w:color="auto"/>
            </w:tcBorders>
            <w:vAlign w:val="center"/>
          </w:tcPr>
          <w:p w14:paraId="359003A3" w14:textId="3386DD33" w:rsidR="00BE1994" w:rsidRDefault="00962431" w:rsidP="00962431">
            <w:pPr>
              <w:jc w:val="center"/>
            </w:pPr>
            <w:r>
              <w:rPr>
                <w:noProof/>
              </w:rPr>
              <w:drawing>
                <wp:inline distT="0" distB="0" distL="0" distR="0" wp14:anchorId="57E0C39E" wp14:editId="6E373AD4">
                  <wp:extent cx="914400" cy="914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 dollar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p>
        </w:tc>
      </w:tr>
      <w:tr w:rsidR="00BE1994" w14:paraId="1DC77D0F" w14:textId="77777777" w:rsidTr="007A2087">
        <w:trPr>
          <w:trHeight w:val="1520"/>
        </w:trPr>
        <w:tc>
          <w:tcPr>
            <w:tcW w:w="7533" w:type="dxa"/>
            <w:tcBorders>
              <w:top w:val="dashed" w:sz="4" w:space="0" w:color="auto"/>
              <w:bottom w:val="dashed" w:sz="4" w:space="0" w:color="auto"/>
            </w:tcBorders>
            <w:vAlign w:val="center"/>
          </w:tcPr>
          <w:p w14:paraId="0FE85326" w14:textId="5422B7D4" w:rsidR="00BE1994" w:rsidRPr="00962431" w:rsidRDefault="00BE1994" w:rsidP="007A2087">
            <w:r w:rsidRPr="00962431">
              <w:rPr>
                <w:rFonts w:ascii="Signika" w:hAnsi="Signika" w:cs="TimesNewRomanPSMT"/>
              </w:rPr>
              <w:t xml:space="preserve">DID YOU KNOW? Last year, 70% of WITS students exceeded the national average for annual reading level growth. Help me continue this growth by donating to my </w:t>
            </w:r>
            <w:proofErr w:type="spellStart"/>
            <w:r w:rsidRPr="00962431">
              <w:rPr>
                <w:rFonts w:ascii="Signika" w:hAnsi="Signika" w:cs="TimesNewRomanPSMT"/>
              </w:rPr>
              <w:t>WITSummer</w:t>
            </w:r>
            <w:proofErr w:type="spellEnd"/>
            <w:r w:rsidRPr="00962431">
              <w:rPr>
                <w:rFonts w:ascii="Signika" w:hAnsi="Signika" w:cs="TimesNewRomanPSMT"/>
              </w:rPr>
              <w:t xml:space="preserve"> Books campaign. </w:t>
            </w:r>
            <w:r w:rsidRPr="00962431">
              <w:rPr>
                <w:rFonts w:ascii="Signika" w:hAnsi="Signika" w:cs="TimesNewRomanPSMT"/>
                <w:i/>
                <w:color w:val="FF0000"/>
              </w:rPr>
              <w:t>[Insert personal fundraising page]</w:t>
            </w:r>
          </w:p>
        </w:tc>
        <w:tc>
          <w:tcPr>
            <w:tcW w:w="3442" w:type="dxa"/>
            <w:tcBorders>
              <w:top w:val="dashed" w:sz="4" w:space="0" w:color="auto"/>
              <w:bottom w:val="dashed" w:sz="4" w:space="0" w:color="auto"/>
            </w:tcBorders>
            <w:vAlign w:val="center"/>
          </w:tcPr>
          <w:p w14:paraId="5ECA9BCA" w14:textId="3BE99E04" w:rsidR="00BE1994" w:rsidRDefault="00962431" w:rsidP="00962431">
            <w:pPr>
              <w:jc w:val="center"/>
            </w:pPr>
            <w:r>
              <w:rPr>
                <w:noProof/>
              </w:rPr>
              <w:drawing>
                <wp:inline distT="0" distB="0" distL="0" distR="0" wp14:anchorId="67FDA57E" wp14:editId="010CCE40">
                  <wp:extent cx="914400"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pic:spPr>
                      </pic:pic>
                    </a:graphicData>
                  </a:graphic>
                </wp:inline>
              </w:drawing>
            </w:r>
          </w:p>
        </w:tc>
      </w:tr>
      <w:tr w:rsidR="00BE1994" w14:paraId="0984CD4C" w14:textId="77777777" w:rsidTr="007A2087">
        <w:trPr>
          <w:trHeight w:val="1610"/>
        </w:trPr>
        <w:tc>
          <w:tcPr>
            <w:tcW w:w="7533" w:type="dxa"/>
            <w:tcBorders>
              <w:top w:val="dashed" w:sz="4" w:space="0" w:color="auto"/>
              <w:bottom w:val="dashed" w:sz="4" w:space="0" w:color="auto"/>
            </w:tcBorders>
            <w:vAlign w:val="center"/>
          </w:tcPr>
          <w:p w14:paraId="17C712FB" w14:textId="57038380" w:rsidR="00BE1994" w:rsidRPr="00962431" w:rsidRDefault="00BE1994" w:rsidP="007A2087">
            <w:r w:rsidRPr="00962431">
              <w:rPr>
                <w:rFonts w:ascii="Signika" w:hAnsi="Signika" w:cs="Arial"/>
              </w:rPr>
              <w:t>20% of our state’s low income 4</w:t>
            </w:r>
            <w:r w:rsidRPr="00962431">
              <w:rPr>
                <w:rFonts w:ascii="Signika" w:hAnsi="Signika" w:cs="Arial"/>
                <w:vertAlign w:val="superscript"/>
              </w:rPr>
              <w:t>th</w:t>
            </w:r>
            <w:r w:rsidRPr="00962431">
              <w:rPr>
                <w:rFonts w:ascii="Signika" w:hAnsi="Signika" w:cs="Arial"/>
              </w:rPr>
              <w:t xml:space="preserve"> graders are at grade level reading proficiency compared to 55% of their wealthier peers. WITS </w:t>
            </w:r>
            <w:proofErr w:type="gramStart"/>
            <w:r w:rsidRPr="00962431">
              <w:rPr>
                <w:rFonts w:ascii="Signika" w:hAnsi="Signika" w:cs="Arial"/>
              </w:rPr>
              <w:t>works</w:t>
            </w:r>
            <w:proofErr w:type="gramEnd"/>
            <w:r w:rsidRPr="00962431">
              <w:rPr>
                <w:rFonts w:ascii="Signika" w:hAnsi="Signika" w:cs="Arial"/>
              </w:rPr>
              <w:t xml:space="preserve"> to fill this gap by creating opportunities for every student in Chicago to be literate. Support my efforts! </w:t>
            </w:r>
            <w:r w:rsidRPr="00962431">
              <w:rPr>
                <w:rFonts w:ascii="Signika" w:hAnsi="Signika" w:cs="TimesNewRomanPSMT"/>
                <w:i/>
                <w:color w:val="FF0000"/>
              </w:rPr>
              <w:t>[Insert personal fundraising page]</w:t>
            </w:r>
          </w:p>
        </w:tc>
        <w:tc>
          <w:tcPr>
            <w:tcW w:w="3442" w:type="dxa"/>
            <w:tcBorders>
              <w:top w:val="dashed" w:sz="4" w:space="0" w:color="auto"/>
              <w:bottom w:val="dashed" w:sz="4" w:space="0" w:color="auto"/>
            </w:tcBorders>
            <w:vAlign w:val="center"/>
          </w:tcPr>
          <w:p w14:paraId="4B2FF2DC" w14:textId="4BAC0A65" w:rsidR="00BE1994" w:rsidRDefault="00962431" w:rsidP="00962431">
            <w:pPr>
              <w:jc w:val="center"/>
            </w:pPr>
            <w:r>
              <w:rPr>
                <w:noProof/>
              </w:rPr>
              <w:drawing>
                <wp:inline distT="0" distB="0" distL="0" distR="0" wp14:anchorId="541D040C" wp14:editId="380E4C04">
                  <wp:extent cx="914400" cy="914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pic:spPr>
                      </pic:pic>
                    </a:graphicData>
                  </a:graphic>
                </wp:inline>
              </w:drawing>
            </w:r>
          </w:p>
        </w:tc>
      </w:tr>
      <w:tr w:rsidR="00BE1994" w14:paraId="7E21EA63" w14:textId="77777777" w:rsidTr="007A2087">
        <w:trPr>
          <w:trHeight w:val="1610"/>
        </w:trPr>
        <w:tc>
          <w:tcPr>
            <w:tcW w:w="7533" w:type="dxa"/>
            <w:tcBorders>
              <w:top w:val="dashed" w:sz="4" w:space="0" w:color="auto"/>
              <w:bottom w:val="dashed" w:sz="4" w:space="0" w:color="auto"/>
            </w:tcBorders>
            <w:vAlign w:val="center"/>
          </w:tcPr>
          <w:p w14:paraId="7F84BA64" w14:textId="732529A4" w:rsidR="00BE1994" w:rsidRPr="00962431" w:rsidRDefault="00BE1994" w:rsidP="007A2087">
            <w:r w:rsidRPr="00962431">
              <w:rPr>
                <w:rFonts w:ascii="Signika" w:hAnsi="Signika" w:cs="TimesNewRomanPSMT"/>
              </w:rPr>
              <w:t xml:space="preserve">WITS is a movement of educators, volunteers and investors coming together to support a better public education for every student. Donate to my </w:t>
            </w:r>
            <w:proofErr w:type="spellStart"/>
            <w:r w:rsidRPr="00962431">
              <w:rPr>
                <w:rFonts w:ascii="Signika" w:hAnsi="Signika" w:cs="TimesNewRomanPSMT"/>
              </w:rPr>
              <w:t>WITSummer</w:t>
            </w:r>
            <w:proofErr w:type="spellEnd"/>
            <w:r w:rsidRPr="00962431">
              <w:rPr>
                <w:rFonts w:ascii="Signika" w:hAnsi="Signika" w:cs="TimesNewRomanPSMT"/>
              </w:rPr>
              <w:t xml:space="preserve"> Books campaign to give access to literacy resources to every student! </w:t>
            </w:r>
            <w:r w:rsidRPr="00962431">
              <w:rPr>
                <w:rFonts w:ascii="Signika" w:hAnsi="Signika" w:cs="TimesNewRomanPSMT"/>
                <w:i/>
                <w:color w:val="FF0000"/>
              </w:rPr>
              <w:t>[Insert personal fundraising page]</w:t>
            </w:r>
          </w:p>
        </w:tc>
        <w:tc>
          <w:tcPr>
            <w:tcW w:w="3442" w:type="dxa"/>
            <w:tcBorders>
              <w:top w:val="dashed" w:sz="4" w:space="0" w:color="auto"/>
              <w:bottom w:val="dashed" w:sz="4" w:space="0" w:color="auto"/>
            </w:tcBorders>
            <w:vAlign w:val="center"/>
          </w:tcPr>
          <w:p w14:paraId="21EF8DDC" w14:textId="69ED7A28" w:rsidR="00BE1994" w:rsidRDefault="00962431" w:rsidP="00962431">
            <w:pPr>
              <w:jc w:val="center"/>
            </w:pPr>
            <w:r>
              <w:rPr>
                <w:noProof/>
              </w:rPr>
              <w:drawing>
                <wp:inline distT="0" distB="0" distL="0" distR="0" wp14:anchorId="7EB0DE82" wp14:editId="30A5217A">
                  <wp:extent cx="914400" cy="914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pic:spPr>
                      </pic:pic>
                    </a:graphicData>
                  </a:graphic>
                </wp:inline>
              </w:drawing>
            </w:r>
          </w:p>
        </w:tc>
      </w:tr>
      <w:tr w:rsidR="00BE1994" w14:paraId="4EF352B0" w14:textId="77777777" w:rsidTr="007A2087">
        <w:trPr>
          <w:trHeight w:val="1610"/>
        </w:trPr>
        <w:tc>
          <w:tcPr>
            <w:tcW w:w="7533" w:type="dxa"/>
            <w:tcBorders>
              <w:top w:val="dashed" w:sz="4" w:space="0" w:color="auto"/>
              <w:bottom w:val="dashed" w:sz="4" w:space="0" w:color="auto"/>
            </w:tcBorders>
            <w:vAlign w:val="center"/>
          </w:tcPr>
          <w:p w14:paraId="2BA25BB0" w14:textId="62F90D8B" w:rsidR="00BE1994" w:rsidRPr="00962431" w:rsidRDefault="00BE1994" w:rsidP="007A2087">
            <w:r w:rsidRPr="00962431">
              <w:rPr>
                <w:rFonts w:ascii="Signika" w:hAnsi="Signika" w:cs="TimesNewRomanPSMT"/>
              </w:rPr>
              <w:t xml:space="preserve">Last year, WITS added 25,000 books to the homes of students and classrooms of Rochelle Lee Teacher Awardees. Your donation will give access to even more books to those that love to read. </w:t>
            </w:r>
            <w:r w:rsidRPr="00962431">
              <w:rPr>
                <w:rFonts w:ascii="Signika" w:hAnsi="Signika" w:cs="TimesNewRomanPSMT"/>
                <w:i/>
                <w:color w:val="FF0000"/>
              </w:rPr>
              <w:t>[Insert personal fundraising page]</w:t>
            </w:r>
            <w:r w:rsidRPr="00962431">
              <w:rPr>
                <w:rFonts w:ascii="Signika" w:hAnsi="Signika" w:cs="TimesNewRomanPSMT"/>
                <w:color w:val="FF0000"/>
              </w:rPr>
              <w:t xml:space="preserve">  </w:t>
            </w:r>
          </w:p>
        </w:tc>
        <w:tc>
          <w:tcPr>
            <w:tcW w:w="3442" w:type="dxa"/>
            <w:tcBorders>
              <w:top w:val="dashed" w:sz="4" w:space="0" w:color="auto"/>
              <w:bottom w:val="dashed" w:sz="4" w:space="0" w:color="auto"/>
            </w:tcBorders>
            <w:vAlign w:val="center"/>
          </w:tcPr>
          <w:p w14:paraId="0EA444E2" w14:textId="30875154" w:rsidR="00BE1994" w:rsidRDefault="00962431" w:rsidP="00962431">
            <w:pPr>
              <w:jc w:val="center"/>
            </w:pPr>
            <w:r>
              <w:rPr>
                <w:noProof/>
              </w:rPr>
              <w:drawing>
                <wp:inline distT="0" distB="0" distL="0" distR="0" wp14:anchorId="43404C0F" wp14:editId="49D7AE97">
                  <wp:extent cx="914400" cy="914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pic:spPr>
                      </pic:pic>
                    </a:graphicData>
                  </a:graphic>
                </wp:inline>
              </w:drawing>
            </w:r>
          </w:p>
        </w:tc>
      </w:tr>
    </w:tbl>
    <w:p w14:paraId="39972D20" w14:textId="77777777" w:rsidR="00B55B11" w:rsidRDefault="007A2087">
      <w:bookmarkStart w:id="0" w:name="_GoBack"/>
      <w:bookmarkEnd w:id="0"/>
    </w:p>
    <w:sectPr w:rsidR="00B55B11" w:rsidSect="00962431">
      <w:pgSz w:w="12240" w:h="15840"/>
      <w:pgMar w:top="540" w:right="810" w:bottom="54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ignika">
    <w:panose1 w:val="02010003020600000004"/>
    <w:charset w:val="00"/>
    <w:family w:val="modern"/>
    <w:notTrueType/>
    <w:pitch w:val="variable"/>
    <w:sig w:usb0="A00000AF" w:usb1="00000003" w:usb2="00000000" w:usb3="00000000" w:csb0="00000093" w:csb1="00000000"/>
  </w:font>
  <w:font w:name="Garamond-Bold">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189"/>
    <w:rsid w:val="00002189"/>
    <w:rsid w:val="007A2087"/>
    <w:rsid w:val="00962431"/>
    <w:rsid w:val="00BE1994"/>
    <w:rsid w:val="00C8163F"/>
    <w:rsid w:val="00D65BDC"/>
    <w:rsid w:val="00DF3746"/>
    <w:rsid w:val="00E83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51396DC"/>
  <w15:chartTrackingRefBased/>
  <w15:docId w15:val="{46E9F451-643B-49C4-8C13-2999772CF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2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BE1994"/>
    <w:rPr>
      <w:i/>
      <w:iCs/>
    </w:rPr>
  </w:style>
  <w:style w:type="character" w:styleId="Strong">
    <w:name w:val="Strong"/>
    <w:uiPriority w:val="22"/>
    <w:qFormat/>
    <w:rsid w:val="00BE19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Romany</dc:creator>
  <cp:keywords/>
  <dc:description/>
  <cp:lastModifiedBy>Kellie Romany</cp:lastModifiedBy>
  <cp:revision>1</cp:revision>
  <dcterms:created xsi:type="dcterms:W3CDTF">2019-03-08T17:57:00Z</dcterms:created>
  <dcterms:modified xsi:type="dcterms:W3CDTF">2019-03-08T19:09:00Z</dcterms:modified>
</cp:coreProperties>
</file>